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 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R4-2120319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November 01-12, 2021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WF on RRM aspects of IAB enhancement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9.17.3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Approval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Way Forward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On Case 6 Timing</w:t>
      </w:r>
    </w:p>
    <w:p>
      <w:pPr>
        <w:pStyle w:val="25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宋体"/>
          <w:color w:val="auto"/>
          <w:sz w:val="22"/>
          <w:szCs w:val="22"/>
          <w:lang w:eastAsia="zh-CN"/>
        </w:rPr>
      </w:pPr>
      <w:r>
        <w:rPr>
          <w:rFonts w:hint="eastAsia" w:eastAsia="宋体"/>
          <w:color w:val="auto"/>
          <w:sz w:val="22"/>
          <w:szCs w:val="22"/>
          <w:lang w:val="en-US" w:eastAsia="zh-CN"/>
        </w:rPr>
        <w:t>Option 1: Wait for further RAN1 agreements related to OTA timing synchronization mechanism for Case # 6 timing before drawing final conclusions on the RRM impact.</w:t>
      </w:r>
    </w:p>
    <w:p>
      <w:pPr>
        <w:rPr>
          <w:rFonts w:eastAsia="Yu Mincho"/>
          <w:color w:val="auto"/>
          <w:sz w:val="22"/>
          <w:szCs w:val="22"/>
          <w:lang w:val="en-US" w:eastAsia="zh-CN"/>
        </w:rPr>
      </w:pPr>
      <w:r>
        <w:rPr>
          <w:rFonts w:eastAsia="Yu Mincho"/>
          <w:color w:val="auto"/>
          <w:sz w:val="22"/>
          <w:szCs w:val="22"/>
          <w:lang w:val="en-US" w:eastAsia="zh-CN"/>
        </w:rPr>
        <w:t xml:space="preserve">Option </w:t>
      </w:r>
      <w:r>
        <w:rPr>
          <w:rFonts w:hint="eastAsia" w:eastAsia="Yu Mincho"/>
          <w:color w:val="auto"/>
          <w:sz w:val="22"/>
          <w:szCs w:val="22"/>
          <w:lang w:val="en-US" w:eastAsia="zh-CN"/>
        </w:rPr>
        <w:t>2</w:t>
      </w:r>
      <w:r>
        <w:rPr>
          <w:rFonts w:eastAsia="Yu Mincho"/>
          <w:color w:val="auto"/>
          <w:sz w:val="22"/>
          <w:szCs w:val="22"/>
          <w:lang w:val="en-US" w:eastAsia="zh-CN"/>
        </w:rPr>
        <w:t xml:space="preserve">: </w:t>
      </w:r>
      <w:r>
        <w:rPr>
          <w:rFonts w:eastAsia="Yu Mincho"/>
          <w:bCs/>
          <w:color w:val="auto"/>
          <w:sz w:val="22"/>
          <w:szCs w:val="22"/>
          <w:lang w:val="en-US" w:eastAsia="zh-CN"/>
        </w:rPr>
        <w:t>Reflect the difference between Case#1 and Case#6 timing in TS 38.174.</w:t>
      </w:r>
    </w:p>
    <w:p>
      <w:pPr>
        <w:rPr>
          <w:rFonts w:hint="eastAsia" w:eastAsia="Yu Mincho"/>
          <w:color w:val="0070C0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CLI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default"/>
          <w:sz w:val="22"/>
          <w:szCs w:val="22"/>
          <w:lang w:val="en-US" w:eastAsia="zh-CN"/>
        </w:rPr>
        <w:t>Option 1:  RAN4 needs to define CLI measurement requirements subjecting to RAN1/2 design on mechanisms for assisting simultaneous operations.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default"/>
          <w:sz w:val="22"/>
          <w:szCs w:val="22"/>
          <w:lang w:val="en-US" w:eastAsia="zh-CN"/>
        </w:rPr>
        <w:t>Option 2: For CLI measurements by IAB-MT, no RRM requirements need to be specified.</w:t>
      </w:r>
    </w:p>
    <w:p>
      <w:pPr>
        <w:rPr>
          <w:rFonts w:hint="eastAsia"/>
          <w:b/>
          <w:bCs w:val="0"/>
          <w:sz w:val="22"/>
          <w:szCs w:val="22"/>
          <w:u w:val="single"/>
          <w:lang w:val="en-US" w:eastAsia="zh-CN"/>
        </w:rPr>
      </w:pPr>
      <w:bookmarkStart w:id="2" w:name="_GoBack"/>
      <w:bookmarkEnd w:id="2"/>
    </w:p>
    <w:p>
      <w:pPr>
        <w:rPr>
          <w:rFonts w:hint="default" w:eastAsia="Yu Mincho"/>
          <w:i w:val="0"/>
          <w:iCs w:val="0"/>
          <w:lang w:val="en-US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Simultaneous operation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No further RRM impact for IAB-MT or DU due to simultaneous operation between IAB-MT TX and DU RX or between IAB-MT RX and DU TX is identified.  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566714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E221D8"/>
    <w:rsid w:val="34F42A3D"/>
    <w:rsid w:val="3509315E"/>
    <w:rsid w:val="351A4CC6"/>
    <w:rsid w:val="355F30F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A81EBB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A44B92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943F97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F225A2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2021-11-09T14:42:15Z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